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1306"/>
      </w:tblGrid>
      <w:tr w:rsidR="00B53617" w:rsidRPr="00D36988" w:rsidTr="004A409E">
        <w:tc>
          <w:tcPr>
            <w:tcW w:w="0" w:type="auto"/>
            <w:shd w:val="clear" w:color="auto" w:fill="F2F2F2"/>
          </w:tcPr>
          <w:p w:rsidR="00B53617" w:rsidRPr="00D36988" w:rsidRDefault="00B53617" w:rsidP="004A409E">
            <w:pPr>
              <w:spacing w:after="60"/>
              <w:rPr>
                <w:b/>
                <w:sz w:val="22"/>
                <w:szCs w:val="22"/>
                <w:lang w:val="ru-RU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>Стандард 1: Структура студијског програма</w:t>
            </w:r>
          </w:p>
          <w:p w:rsidR="00B53617" w:rsidRPr="00761AC4" w:rsidRDefault="00B53617" w:rsidP="004A409E">
            <w:pPr>
              <w:spacing w:after="60"/>
              <w:jc w:val="both"/>
              <w:rPr>
                <w:sz w:val="18"/>
                <w:szCs w:val="18"/>
                <w:highlight w:val="yellow"/>
                <w:lang w:val="sr-Cyrl-CS"/>
              </w:rPr>
            </w:pPr>
            <w:r w:rsidRPr="00761AC4">
              <w:rPr>
                <w:sz w:val="18"/>
                <w:szCs w:val="18"/>
                <w:lang w:val="sr-Cyrl-CS"/>
              </w:rPr>
              <w:t>Докторске студије имају најмање 180 ЕСПБ бодова, уз претходно остварени обим студија од најмање 300 ЕСПБ бодова на основним академским и мастер академским студијама, односно на завршеним интегрисаним академским студијама. Докторска дисертација је завршни део студијског програма докторских студија.</w:t>
            </w:r>
          </w:p>
        </w:tc>
      </w:tr>
      <w:tr w:rsidR="00B53617" w:rsidRPr="00D36988" w:rsidTr="004A409E">
        <w:tc>
          <w:tcPr>
            <w:tcW w:w="0" w:type="auto"/>
          </w:tcPr>
          <w:p w:rsidR="00B53617" w:rsidRPr="00F466BA" w:rsidRDefault="00B53617" w:rsidP="004A409E">
            <w:pPr>
              <w:shd w:val="clear" w:color="auto" w:fill="FFFFFF"/>
              <w:jc w:val="both"/>
              <w:rPr>
                <w:b/>
                <w:lang w:val="sr-Cyrl-CS"/>
              </w:rPr>
            </w:pPr>
            <w:r w:rsidRPr="00F466BA">
              <w:rPr>
                <w:b/>
                <w:lang w:val="sr-Cyrl-CS"/>
              </w:rPr>
              <w:t>Опис (највише 300 речи):</w:t>
            </w:r>
          </w:p>
          <w:p w:rsidR="003A05F1" w:rsidRPr="00F466BA" w:rsidRDefault="003A05F1" w:rsidP="00761AC4">
            <w:pPr>
              <w:widowControl/>
              <w:ind w:firstLine="318"/>
              <w:jc w:val="both"/>
              <w:rPr>
                <w:rFonts w:eastAsia="ArialMT"/>
                <w:lang w:eastAsia="en-US"/>
              </w:rPr>
            </w:pPr>
            <w:r w:rsidRPr="00F466BA">
              <w:rPr>
                <w:rFonts w:eastAsia="ArialMT"/>
                <w:lang w:val="ru-RU" w:eastAsia="en-US"/>
              </w:rPr>
              <w:t xml:space="preserve">Докторске </w:t>
            </w:r>
            <w:r w:rsidR="00521AA4" w:rsidRPr="00F466BA">
              <w:rPr>
                <w:rFonts w:eastAsia="ArialMT"/>
                <w:lang w:val="ru-RU" w:eastAsia="en-US"/>
              </w:rPr>
              <w:t xml:space="preserve">академске </w:t>
            </w:r>
            <w:r w:rsidRPr="00F466BA">
              <w:rPr>
                <w:rFonts w:eastAsia="ArialMT"/>
                <w:lang w:val="ru-RU" w:eastAsia="en-US"/>
              </w:rPr>
              <w:t xml:space="preserve">студије психологије </w:t>
            </w:r>
            <w:r w:rsidR="00D834EF" w:rsidRPr="00F466BA">
              <w:rPr>
                <w:rFonts w:eastAsia="ArialMT"/>
                <w:lang w:eastAsia="en-US"/>
              </w:rPr>
              <w:t xml:space="preserve">су студије трећег степена, </w:t>
            </w:r>
            <w:r w:rsidR="00E26D16">
              <w:rPr>
                <w:rFonts w:eastAsia="ArialMT"/>
                <w:lang w:eastAsia="en-US"/>
              </w:rPr>
              <w:t>трају три године, а њихов</w:t>
            </w:r>
            <w:r w:rsidR="00D834EF" w:rsidRPr="00F466BA">
              <w:rPr>
                <w:rFonts w:eastAsia="ArialMT"/>
                <w:lang w:eastAsia="en-US"/>
              </w:rPr>
              <w:t xml:space="preserve">им завршетком се </w:t>
            </w:r>
            <w:r w:rsidR="00E26D16">
              <w:rPr>
                <w:rFonts w:eastAsia="ArialMT"/>
                <w:lang w:eastAsia="en-US"/>
              </w:rPr>
              <w:t xml:space="preserve">остварује 180 ЕСПБ и </w:t>
            </w:r>
            <w:r w:rsidR="00D834EF" w:rsidRPr="00F466BA">
              <w:rPr>
                <w:rFonts w:eastAsia="ArialMT"/>
                <w:lang w:eastAsia="en-US"/>
              </w:rPr>
              <w:t xml:space="preserve">стиче </w:t>
            </w:r>
            <w:r w:rsidR="00E26D16">
              <w:rPr>
                <w:rFonts w:eastAsia="ArialMT"/>
                <w:lang w:eastAsia="en-US"/>
              </w:rPr>
              <w:t xml:space="preserve">се </w:t>
            </w:r>
            <w:r w:rsidR="00D834EF" w:rsidRPr="00F466BA">
              <w:rPr>
                <w:rFonts w:eastAsia="ArialMT"/>
                <w:lang w:eastAsia="en-US"/>
              </w:rPr>
              <w:t xml:space="preserve">академски назив </w:t>
            </w:r>
            <w:r w:rsidR="00D834EF" w:rsidRPr="00F466BA">
              <w:rPr>
                <w:rFonts w:eastAsia="ArialMT"/>
                <w:i/>
                <w:lang w:eastAsia="en-US"/>
              </w:rPr>
              <w:t>доктор психолошких наука</w:t>
            </w:r>
            <w:r w:rsidR="00D834EF" w:rsidRPr="00F466BA">
              <w:rPr>
                <w:rFonts w:eastAsia="ArialMT"/>
                <w:lang w:eastAsia="en-US"/>
              </w:rPr>
              <w:t xml:space="preserve">. </w:t>
            </w:r>
            <w:r w:rsidR="00E26D16">
              <w:rPr>
                <w:rFonts w:eastAsia="ArialMT"/>
                <w:lang w:eastAsia="en-US"/>
              </w:rPr>
              <w:t>Могу их уписати</w:t>
            </w:r>
            <w:r w:rsidR="00D834EF" w:rsidRPr="00F466BA">
              <w:rPr>
                <w:rFonts w:eastAsia="ArialMT"/>
                <w:lang w:eastAsia="en-US"/>
              </w:rPr>
              <w:t xml:space="preserve"> кандидати који су на претходним нивоима студија остварили 300 ЕСПБ, под условима прецизније описани</w:t>
            </w:r>
            <w:r w:rsidR="00E26D16">
              <w:rPr>
                <w:rFonts w:eastAsia="ArialMT"/>
                <w:lang w:eastAsia="en-US"/>
              </w:rPr>
              <w:t>м</w:t>
            </w:r>
            <w:r w:rsidR="00D834EF" w:rsidRPr="00F466BA">
              <w:rPr>
                <w:rFonts w:eastAsia="ArialMT"/>
                <w:lang w:eastAsia="en-US"/>
              </w:rPr>
              <w:t xml:space="preserve"> у Стандарду 7. Циљеви студијског програма и компетенције које се стичу завршетком студија описани су у Стандарду 3 и 4. </w:t>
            </w:r>
            <w:r w:rsidR="0006689F" w:rsidRPr="00F466BA">
              <w:rPr>
                <w:rFonts w:eastAsia="ArialMT"/>
                <w:lang w:eastAsia="en-US"/>
              </w:rPr>
              <w:t>Стандард 5 садржи комплетан курикулум студијског програма</w:t>
            </w:r>
            <w:r w:rsidR="0006689F" w:rsidRPr="00F466BA">
              <w:rPr>
                <w:lang w:val="sr-Cyrl-CS"/>
              </w:rPr>
              <w:t>.</w:t>
            </w:r>
          </w:p>
          <w:p w:rsidR="00AA1427" w:rsidRPr="00F466BA" w:rsidRDefault="003A05F1" w:rsidP="00761AC4">
            <w:pPr>
              <w:ind w:firstLine="318"/>
              <w:jc w:val="both"/>
              <w:rPr>
                <w:lang w:val="sr-Cyrl-CS"/>
              </w:rPr>
            </w:pPr>
            <w:r w:rsidRPr="00F466BA">
              <w:rPr>
                <w:rFonts w:eastAsia="ArialMT"/>
                <w:lang w:val="ru-RU" w:eastAsia="en-US"/>
              </w:rPr>
              <w:t>План докторских студија обухвата обавезне и изборне предмете који се одвијају током прва четири</w:t>
            </w:r>
            <w:r w:rsidRPr="00F466BA">
              <w:rPr>
                <w:rFonts w:eastAsia="ArialMT"/>
                <w:b/>
                <w:lang w:val="ru-RU" w:eastAsia="en-US"/>
              </w:rPr>
              <w:t xml:space="preserve"> </w:t>
            </w:r>
            <w:r w:rsidRPr="00F466BA">
              <w:rPr>
                <w:rFonts w:eastAsia="ArialMT"/>
                <w:lang w:val="ru-RU" w:eastAsia="en-US"/>
              </w:rPr>
              <w:t>семестра</w:t>
            </w:r>
            <w:r w:rsidR="00A24A4A" w:rsidRPr="00F466BA">
              <w:rPr>
                <w:rFonts w:eastAsia="ArialMT"/>
                <w:lang w:val="ru-RU" w:eastAsia="en-US"/>
              </w:rPr>
              <w:t xml:space="preserve">, а пети и шести семестар </w:t>
            </w:r>
            <w:r w:rsidR="00AA1427" w:rsidRPr="00F466BA">
              <w:rPr>
                <w:rFonts w:eastAsia="ArialMT"/>
                <w:lang w:val="ru-RU" w:eastAsia="en-US"/>
              </w:rPr>
              <w:t>обухвата</w:t>
            </w:r>
            <w:r w:rsidR="00E26D16">
              <w:rPr>
                <w:rFonts w:eastAsia="ArialMT"/>
                <w:lang w:val="ru-RU" w:eastAsia="en-US"/>
              </w:rPr>
              <w:t>ју</w:t>
            </w:r>
            <w:r w:rsidR="00AA1427" w:rsidRPr="00F466BA">
              <w:rPr>
                <w:rFonts w:eastAsia="ArialMT"/>
                <w:lang w:val="ru-RU" w:eastAsia="en-US"/>
              </w:rPr>
              <w:t xml:space="preserve"> предмете који се тичу израде докторске дисертације</w:t>
            </w:r>
            <w:r w:rsidRPr="00F466BA">
              <w:rPr>
                <w:rFonts w:eastAsia="ArialMT"/>
                <w:lang w:eastAsia="en-US"/>
              </w:rPr>
              <w:t xml:space="preserve">. </w:t>
            </w:r>
            <w:r w:rsidR="00AA1427" w:rsidRPr="00F466BA">
              <w:rPr>
                <w:rFonts w:eastAsia="ArialMT"/>
                <w:lang w:eastAsia="en-US"/>
              </w:rPr>
              <w:t>Изборне п</w:t>
            </w:r>
            <w:r w:rsidRPr="00F466BA">
              <w:rPr>
                <w:lang w:val="sr-Cyrl-CS"/>
              </w:rPr>
              <w:t xml:space="preserve">редмете кандидат бира у </w:t>
            </w:r>
            <w:r w:rsidR="00AA1427" w:rsidRPr="00F466BA">
              <w:rPr>
                <w:lang w:val="sr-Cyrl-CS"/>
              </w:rPr>
              <w:t xml:space="preserve">складу са својим подручјем интересовања и у </w:t>
            </w:r>
            <w:r w:rsidRPr="00F466BA">
              <w:rPr>
                <w:lang w:val="sr-Cyrl-CS"/>
              </w:rPr>
              <w:t xml:space="preserve">договору са ментором код кога намерава да ради докторску дисертацију. </w:t>
            </w:r>
          </w:p>
          <w:p w:rsidR="00A566C3" w:rsidRPr="00F466BA" w:rsidRDefault="003A05F1" w:rsidP="00761AC4">
            <w:pPr>
              <w:ind w:firstLine="318"/>
              <w:jc w:val="both"/>
              <w:rPr>
                <w:rFonts w:eastAsia="ArialMT"/>
                <w:lang w:val="ru-RU" w:eastAsia="en-US"/>
              </w:rPr>
            </w:pPr>
            <w:r w:rsidRPr="00F466BA">
              <w:rPr>
                <w:rFonts w:eastAsia="ArialMT"/>
                <w:lang w:val="ru-RU" w:eastAsia="en-US"/>
              </w:rPr>
              <w:t>Сви докторан</w:t>
            </w:r>
            <w:r w:rsidR="00521AA4" w:rsidRPr="00F466BA">
              <w:rPr>
                <w:rFonts w:eastAsia="ArialMT"/>
                <w:lang w:val="ru-RU" w:eastAsia="en-US"/>
              </w:rPr>
              <w:t>д</w:t>
            </w:r>
            <w:r w:rsidRPr="00F466BA">
              <w:rPr>
                <w:rFonts w:eastAsia="ArialMT"/>
                <w:lang w:val="ru-RU" w:eastAsia="en-US"/>
              </w:rPr>
              <w:t xml:space="preserve">и </w:t>
            </w:r>
            <w:r w:rsidR="00C87E28">
              <w:rPr>
                <w:rFonts w:eastAsia="ArialMT"/>
                <w:lang w:val="ru-RU" w:eastAsia="en-US"/>
              </w:rPr>
              <w:t xml:space="preserve">у првом и другом семестру </w:t>
            </w:r>
            <w:r w:rsidRPr="00F466BA">
              <w:rPr>
                <w:rFonts w:eastAsia="ArialMT"/>
                <w:lang w:val="ru-RU" w:eastAsia="en-US"/>
              </w:rPr>
              <w:t xml:space="preserve">похађају </w:t>
            </w:r>
            <w:r w:rsidR="00E26D16">
              <w:rPr>
                <w:rFonts w:eastAsia="ArialMT"/>
                <w:lang w:val="ru-RU" w:eastAsia="en-US"/>
              </w:rPr>
              <w:t xml:space="preserve">обавезне </w:t>
            </w:r>
            <w:r w:rsidRPr="00F466BA">
              <w:rPr>
                <w:rFonts w:eastAsia="ArialMT"/>
                <w:lang w:val="ru-RU" w:eastAsia="en-US"/>
              </w:rPr>
              <w:t>базич</w:t>
            </w:r>
            <w:r w:rsidR="00E26D16">
              <w:rPr>
                <w:rFonts w:eastAsia="ArialMT"/>
                <w:lang w:val="ru-RU" w:eastAsia="en-US"/>
              </w:rPr>
              <w:t>не</w:t>
            </w:r>
            <w:r w:rsidRPr="00F466BA">
              <w:rPr>
                <w:rFonts w:eastAsia="ArialMT"/>
                <w:lang w:val="ru-RU" w:eastAsia="en-US"/>
              </w:rPr>
              <w:t xml:space="preserve"> теоријско-методолошк</w:t>
            </w:r>
            <w:r w:rsidR="00E26D16">
              <w:rPr>
                <w:rFonts w:eastAsia="ArialMT"/>
                <w:lang w:val="ru-RU" w:eastAsia="en-US"/>
              </w:rPr>
              <w:t>е</w:t>
            </w:r>
            <w:r w:rsidRPr="00F466BA">
              <w:rPr>
                <w:rFonts w:eastAsia="ArialMT"/>
                <w:lang w:val="ru-RU" w:eastAsia="en-US"/>
              </w:rPr>
              <w:t xml:space="preserve"> предмет</w:t>
            </w:r>
            <w:r w:rsidR="00E26D16">
              <w:rPr>
                <w:rFonts w:eastAsia="ArialMT"/>
                <w:lang w:val="ru-RU" w:eastAsia="en-US"/>
              </w:rPr>
              <w:t>е</w:t>
            </w:r>
            <w:r w:rsidRPr="00F466BA">
              <w:rPr>
                <w:rFonts w:eastAsia="ArialMT"/>
                <w:lang w:val="ru-RU" w:eastAsia="en-US"/>
              </w:rPr>
              <w:t xml:space="preserve"> </w:t>
            </w:r>
            <w:r w:rsidR="00AA1427" w:rsidRPr="00F466BA">
              <w:rPr>
                <w:rFonts w:eastAsia="ArialMT"/>
                <w:lang w:val="ru-RU" w:eastAsia="en-US"/>
              </w:rPr>
              <w:t xml:space="preserve">(Методологија истраживања у психологији 1 и 2) </w:t>
            </w:r>
            <w:r w:rsidRPr="00F466BA">
              <w:rPr>
                <w:rFonts w:eastAsia="ArialMT"/>
                <w:lang w:val="ru-RU" w:eastAsia="en-US"/>
              </w:rPr>
              <w:t>и изборн</w:t>
            </w:r>
            <w:r w:rsidR="00E26D16">
              <w:rPr>
                <w:rFonts w:eastAsia="ArialMT"/>
                <w:lang w:val="ru-RU" w:eastAsia="en-US"/>
              </w:rPr>
              <w:t>е</w:t>
            </w:r>
            <w:r w:rsidRPr="00F466BA">
              <w:rPr>
                <w:rFonts w:eastAsia="ArialMT"/>
                <w:lang w:val="ru-RU" w:eastAsia="en-US"/>
              </w:rPr>
              <w:t xml:space="preserve"> предмет</w:t>
            </w:r>
            <w:r w:rsidR="00E26D16">
              <w:rPr>
                <w:rFonts w:eastAsia="ArialMT"/>
                <w:lang w:val="ru-RU" w:eastAsia="en-US"/>
              </w:rPr>
              <w:t xml:space="preserve">е груписане у два изборна блока који се нуде наизменично током прва четири семестра </w:t>
            </w:r>
            <w:r w:rsidR="00C87E28">
              <w:rPr>
                <w:rFonts w:eastAsia="ArialMT"/>
                <w:lang w:val="ru-RU" w:eastAsia="en-US"/>
              </w:rPr>
              <w:t>(</w:t>
            </w:r>
            <w:r w:rsidR="00E26D16">
              <w:rPr>
                <w:rFonts w:eastAsia="ArialMT"/>
                <w:lang w:val="ru-RU" w:eastAsia="en-US"/>
              </w:rPr>
              <w:t xml:space="preserve">обухватају </w:t>
            </w:r>
            <w:r w:rsidR="00AA1427" w:rsidRPr="00F466BA">
              <w:rPr>
                <w:rFonts w:eastAsia="ArialMT"/>
                <w:lang w:eastAsia="en-US"/>
              </w:rPr>
              <w:t>базичн</w:t>
            </w:r>
            <w:r w:rsidR="00E26D16">
              <w:rPr>
                <w:rFonts w:eastAsia="ArialMT"/>
                <w:lang w:eastAsia="en-US"/>
              </w:rPr>
              <w:t>е</w:t>
            </w:r>
            <w:r w:rsidR="00AA1427" w:rsidRPr="00F466BA">
              <w:rPr>
                <w:rFonts w:eastAsia="ArialMT"/>
                <w:lang w:eastAsia="en-US"/>
              </w:rPr>
              <w:t xml:space="preserve"> теоријск</w:t>
            </w:r>
            <w:r w:rsidR="00E26D16">
              <w:rPr>
                <w:rFonts w:eastAsia="ArialMT"/>
                <w:lang w:eastAsia="en-US"/>
              </w:rPr>
              <w:t>е</w:t>
            </w:r>
            <w:r w:rsidR="00AA1427" w:rsidRPr="00F466BA">
              <w:rPr>
                <w:rFonts w:eastAsia="ArialMT"/>
                <w:lang w:eastAsia="en-US"/>
              </w:rPr>
              <w:t xml:space="preserve"> и методолошк</w:t>
            </w:r>
            <w:r w:rsidR="00E26D16">
              <w:rPr>
                <w:rFonts w:eastAsia="ArialMT"/>
                <w:lang w:eastAsia="en-US"/>
              </w:rPr>
              <w:t>е</w:t>
            </w:r>
            <w:r w:rsidR="00AA1427" w:rsidRPr="00F466BA">
              <w:rPr>
                <w:rFonts w:eastAsia="ArialMT"/>
                <w:lang w:eastAsia="en-US"/>
              </w:rPr>
              <w:t xml:space="preserve"> предмет</w:t>
            </w:r>
            <w:r w:rsidR="00E26D16">
              <w:rPr>
                <w:rFonts w:eastAsia="ArialMT"/>
                <w:lang w:eastAsia="en-US"/>
              </w:rPr>
              <w:t>е</w:t>
            </w:r>
            <w:r w:rsidR="00AA1427" w:rsidRPr="00F466BA">
              <w:rPr>
                <w:rFonts w:eastAsia="ArialMT"/>
                <w:lang w:eastAsia="en-US"/>
              </w:rPr>
              <w:t>, као и предмет</w:t>
            </w:r>
            <w:r w:rsidR="00E26D16">
              <w:rPr>
                <w:rFonts w:eastAsia="ArialMT"/>
                <w:lang w:eastAsia="en-US"/>
              </w:rPr>
              <w:t>е</w:t>
            </w:r>
            <w:r w:rsidR="00AA1427" w:rsidRPr="00F466BA">
              <w:rPr>
                <w:rFonts w:eastAsia="ArialMT"/>
                <w:lang w:eastAsia="en-US"/>
              </w:rPr>
              <w:t xml:space="preserve"> који припадају </w:t>
            </w:r>
            <w:r w:rsidR="00E26D16">
              <w:rPr>
                <w:rFonts w:eastAsia="ArialMT"/>
                <w:lang w:eastAsia="en-US"/>
              </w:rPr>
              <w:t xml:space="preserve">различитим </w:t>
            </w:r>
            <w:r w:rsidR="00AA1427" w:rsidRPr="00F466BA">
              <w:rPr>
                <w:rFonts w:eastAsia="ArialMT"/>
                <w:lang w:eastAsia="en-US"/>
              </w:rPr>
              <w:t>подручјима примењене психологије</w:t>
            </w:r>
            <w:r w:rsidR="00C87E28">
              <w:rPr>
                <w:rFonts w:eastAsia="ArialMT"/>
                <w:lang w:eastAsia="en-US"/>
              </w:rPr>
              <w:t>)</w:t>
            </w:r>
            <w:r w:rsidR="00E26D16">
              <w:rPr>
                <w:rFonts w:eastAsia="ArialMT"/>
                <w:lang w:eastAsia="en-US"/>
              </w:rPr>
              <w:t>, а имају и три обавезна студијска истраживачка рада током три прва семестра</w:t>
            </w:r>
            <w:r w:rsidR="00AA1427" w:rsidRPr="00F466BA">
              <w:rPr>
                <w:rFonts w:eastAsia="ArialMT"/>
                <w:lang w:eastAsia="en-US"/>
              </w:rPr>
              <w:t xml:space="preserve">. </w:t>
            </w:r>
            <w:r w:rsidR="00135ED9" w:rsidRPr="00F466BA">
              <w:rPr>
                <w:rFonts w:eastAsia="ArialMT"/>
                <w:lang w:val="ru-RU" w:eastAsia="en-US"/>
              </w:rPr>
              <w:t>Израд</w:t>
            </w:r>
            <w:r w:rsidR="00C87E28">
              <w:rPr>
                <w:rFonts w:eastAsia="ArialMT"/>
                <w:lang w:val="ru-RU" w:eastAsia="en-US"/>
              </w:rPr>
              <w:t>и</w:t>
            </w:r>
            <w:r w:rsidR="00135ED9" w:rsidRPr="00F466BA">
              <w:rPr>
                <w:rFonts w:eastAsia="ArialMT"/>
                <w:lang w:val="ru-RU" w:eastAsia="en-US"/>
              </w:rPr>
              <w:t xml:space="preserve"> и одбран</w:t>
            </w:r>
            <w:r w:rsidR="00C87E28">
              <w:rPr>
                <w:rFonts w:eastAsia="ArialMT"/>
                <w:lang w:val="ru-RU" w:eastAsia="en-US"/>
              </w:rPr>
              <w:t>и</w:t>
            </w:r>
            <w:r w:rsidR="00135ED9" w:rsidRPr="00F466BA">
              <w:rPr>
                <w:rFonts w:eastAsia="ArialMT"/>
                <w:lang w:val="ru-RU" w:eastAsia="en-US"/>
              </w:rPr>
              <w:t xml:space="preserve"> нацрта истраживања за докторску дисертацију </w:t>
            </w:r>
            <w:r w:rsidR="00C87E28">
              <w:rPr>
                <w:rFonts w:eastAsia="ArialMT"/>
                <w:lang w:val="ru-RU" w:eastAsia="en-US"/>
              </w:rPr>
              <w:t>у четвртом семестру</w:t>
            </w:r>
            <w:r w:rsidR="00135ED9" w:rsidRPr="00F466BA">
              <w:rPr>
                <w:rFonts w:eastAsia="ArialMT"/>
                <w:lang w:val="ru-RU" w:eastAsia="en-US"/>
              </w:rPr>
              <w:t xml:space="preserve"> докторанд може да приступи уколико је реализовао Студијски истраживачки рад штампан у научном часопису 2. </w:t>
            </w:r>
            <w:r w:rsidR="00C87E28">
              <w:rPr>
                <w:rFonts w:eastAsia="ArialMT"/>
                <w:lang w:val="ru-RU" w:eastAsia="en-US"/>
              </w:rPr>
              <w:t xml:space="preserve">На трећој години студент </w:t>
            </w:r>
            <w:r w:rsidR="00135ED9" w:rsidRPr="00F466BA">
              <w:rPr>
                <w:rFonts w:eastAsia="ArialMT"/>
                <w:lang w:val="ru-RU" w:eastAsia="en-US"/>
              </w:rPr>
              <w:t xml:space="preserve">приступа прикупљању и обради података у складу са одобреним нацртом у оквиру Истраживања за докторску дисертацију 1, </w:t>
            </w:r>
            <w:r w:rsidR="00C87E28">
              <w:rPr>
                <w:rFonts w:eastAsia="ArialMT"/>
                <w:lang w:val="ru-RU" w:eastAsia="en-US"/>
              </w:rPr>
              <w:t>затим</w:t>
            </w:r>
            <w:r w:rsidR="00135ED9" w:rsidRPr="00F466BA">
              <w:rPr>
                <w:rFonts w:eastAsia="ArialMT"/>
                <w:lang w:val="ru-RU" w:eastAsia="en-US"/>
              </w:rPr>
              <w:t xml:space="preserve"> </w:t>
            </w:r>
            <w:r w:rsidR="00C33621" w:rsidRPr="00F466BA">
              <w:rPr>
                <w:rFonts w:eastAsia="ArialMT"/>
                <w:lang w:val="ru-RU" w:eastAsia="en-US"/>
              </w:rPr>
              <w:t xml:space="preserve">интерпретира добијене податке </w:t>
            </w:r>
            <w:r w:rsidR="00C33621">
              <w:rPr>
                <w:rFonts w:eastAsia="ArialMT"/>
                <w:lang w:val="ru-RU" w:eastAsia="en-US"/>
              </w:rPr>
              <w:t>у оквиру</w:t>
            </w:r>
            <w:r w:rsidR="00C33621" w:rsidRPr="00F466BA">
              <w:rPr>
                <w:rFonts w:eastAsia="ArialMT"/>
                <w:lang w:val="ru-RU" w:eastAsia="en-US"/>
              </w:rPr>
              <w:t xml:space="preserve"> </w:t>
            </w:r>
            <w:r w:rsidR="00135ED9" w:rsidRPr="00F466BA">
              <w:rPr>
                <w:rFonts w:eastAsia="ArialMT"/>
                <w:lang w:val="ru-RU" w:eastAsia="en-US"/>
              </w:rPr>
              <w:t>Истраживањ</w:t>
            </w:r>
            <w:r w:rsidR="00C33621">
              <w:rPr>
                <w:rFonts w:eastAsia="ArialMT"/>
                <w:lang w:val="ru-RU" w:eastAsia="en-US"/>
              </w:rPr>
              <w:t>а</w:t>
            </w:r>
            <w:r w:rsidR="00135ED9" w:rsidRPr="00F466BA">
              <w:rPr>
                <w:rFonts w:eastAsia="ArialMT"/>
                <w:lang w:val="ru-RU" w:eastAsia="en-US"/>
              </w:rPr>
              <w:t xml:space="preserve"> за докторску дисертацију 2</w:t>
            </w:r>
            <w:r w:rsidR="00A566C3" w:rsidRPr="00F466BA">
              <w:rPr>
                <w:rFonts w:eastAsia="ArialMT"/>
                <w:lang w:val="ru-RU" w:eastAsia="en-US"/>
              </w:rPr>
              <w:t xml:space="preserve">. Последња етапа је Израда и одбрана докторске дисертације </w:t>
            </w:r>
            <w:r w:rsidR="00C33621">
              <w:rPr>
                <w:rFonts w:eastAsia="ArialMT"/>
                <w:lang w:val="ru-RU" w:eastAsia="en-US"/>
              </w:rPr>
              <w:t>у којој</w:t>
            </w:r>
            <w:r w:rsidR="00A566C3" w:rsidRPr="00F466BA">
              <w:rPr>
                <w:rFonts w:eastAsia="ArialMT"/>
                <w:lang w:val="ru-RU" w:eastAsia="en-US"/>
              </w:rPr>
              <w:t xml:space="preserve"> су приказани сви елементи спроведеног научног истраживања. </w:t>
            </w:r>
            <w:r w:rsidR="00C87E28">
              <w:rPr>
                <w:rFonts w:eastAsia="ArialMT"/>
                <w:lang w:val="ru-RU" w:eastAsia="en-US"/>
              </w:rPr>
              <w:t>К</w:t>
            </w:r>
            <w:r w:rsidR="00A566C3" w:rsidRPr="00F466BA">
              <w:rPr>
                <w:rFonts w:eastAsia="ArialMT"/>
                <w:lang w:val="ru-RU" w:eastAsia="en-US"/>
              </w:rPr>
              <w:t>андидат пред комисијом брани дисертацију када се за то стекну сви формални услови.</w:t>
            </w:r>
          </w:p>
          <w:p w:rsidR="0006689F" w:rsidRPr="00F466BA" w:rsidRDefault="0006689F" w:rsidP="00761AC4">
            <w:pPr>
              <w:ind w:firstLine="318"/>
              <w:jc w:val="both"/>
            </w:pPr>
            <w:r w:rsidRPr="00F466BA">
              <w:t xml:space="preserve">Студент може током студија, као факултативне, бирати и полагати и предмете који чине структуру других студијских програма трећег степена, али </w:t>
            </w:r>
            <w:r w:rsidR="00C87E28">
              <w:t>њима</w:t>
            </w:r>
            <w:r w:rsidRPr="00F466BA">
              <w:t xml:space="preserve"> не може заменити предмете </w:t>
            </w:r>
            <w:r w:rsidR="00C87E28">
              <w:t>са</w:t>
            </w:r>
            <w:r w:rsidRPr="00F466BA">
              <w:t xml:space="preserve"> студијског програма на који је уписан.</w:t>
            </w:r>
            <w:r w:rsidR="00DD19B5" w:rsidRPr="00F466BA">
              <w:t xml:space="preserve"> Уколико одређени део студија студент проведе на некој другој високошколској институцији у оквиру програма мобилности, признавање испита </w:t>
            </w:r>
            <w:r w:rsidR="00761AC4" w:rsidRPr="00F466BA">
              <w:t>врши се сагласно уговору о учењу који се сачињава пре одласка на размену.</w:t>
            </w:r>
            <w:r w:rsidRPr="00F466BA">
              <w:t xml:space="preserve"> </w:t>
            </w:r>
          </w:p>
          <w:p w:rsidR="003A05F1" w:rsidRPr="00F466BA" w:rsidRDefault="00FC6EFD" w:rsidP="00C87E28">
            <w:pPr>
              <w:ind w:firstLine="318"/>
              <w:jc w:val="both"/>
              <w:rPr>
                <w:sz w:val="22"/>
                <w:szCs w:val="22"/>
              </w:rPr>
            </w:pPr>
            <w:r>
              <w:t>П</w:t>
            </w:r>
            <w:r w:rsidR="0006689F" w:rsidRPr="00F466BA">
              <w:t>итања од значаја за реализацију докторских академских студија психологије регулисана су Правилником о докторским академским студијама Филозофског факултета у Нишу (</w:t>
            </w:r>
            <w:hyperlink r:id="rId7" w:history="1">
              <w:r w:rsidR="00A24A4A" w:rsidRPr="00F466BA">
                <w:rPr>
                  <w:rStyle w:val="Hyperlink"/>
                  <w:color w:val="auto"/>
                </w:rPr>
                <w:t>https://docs.google.com/document/d/1S80-eXHNSmxuPmCNLYk1CuMvgntUIXsi/edit</w:t>
              </w:r>
            </w:hyperlink>
            <w:r w:rsidR="00A24A4A" w:rsidRPr="00F466BA">
              <w:t>), као и Правилником о поступку припреме и условима за одбрану докторске дисертације Универзитета у Нишу (</w:t>
            </w:r>
            <w:hyperlink r:id="rId8" w:history="1">
              <w:r w:rsidR="00A24A4A" w:rsidRPr="00F466BA">
                <w:rPr>
                  <w:rStyle w:val="Hyperlink"/>
                  <w:color w:val="auto"/>
                </w:rPr>
                <w:t>file:///E:/Documents/Downloads/pravilnik_o_postupku_pripreme_i_uslovima_za_odbranu_doktorske_disertacije%20(1).pdf)</w:t>
              </w:r>
            </w:hyperlink>
            <w:r w:rsidR="00A24A4A" w:rsidRPr="00F466BA">
              <w:t>.</w:t>
            </w:r>
          </w:p>
        </w:tc>
      </w:tr>
      <w:tr w:rsidR="00B53617" w:rsidRPr="00D36988" w:rsidTr="004A409E">
        <w:tc>
          <w:tcPr>
            <w:tcW w:w="0" w:type="auto"/>
          </w:tcPr>
          <w:p w:rsidR="00B53617" w:rsidRPr="00761AC4" w:rsidRDefault="00B53617" w:rsidP="004A409E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b/>
                <w:lang w:val="sr-Cyrl-CS"/>
              </w:rPr>
            </w:pPr>
            <w:r w:rsidRPr="00761AC4">
              <w:rPr>
                <w:b/>
              </w:rPr>
              <w:t>Прилози за стандард 1</w:t>
            </w:r>
            <w:r w:rsidRPr="00761AC4">
              <w:rPr>
                <w:b/>
                <w:lang w:val="sr-Cyrl-CS"/>
              </w:rPr>
              <w:t xml:space="preserve">: </w:t>
            </w:r>
          </w:p>
          <w:p w:rsidR="00B53617" w:rsidRPr="00761AC4" w:rsidRDefault="00B53617" w:rsidP="004A409E">
            <w:pPr>
              <w:shd w:val="clear" w:color="auto" w:fill="FFFFFF"/>
              <w:jc w:val="both"/>
              <w:rPr>
                <w:sz w:val="18"/>
                <w:szCs w:val="18"/>
                <w:lang w:val="sr-Cyrl-CS"/>
              </w:rPr>
            </w:pPr>
            <w:r w:rsidRPr="00761AC4">
              <w:rPr>
                <w:b/>
                <w:sz w:val="18"/>
                <w:szCs w:val="18"/>
                <w:lang w:val="sr-Cyrl-CS"/>
              </w:rPr>
              <w:t xml:space="preserve">Прилог 1.1. </w:t>
            </w:r>
            <w:r w:rsidRPr="00761AC4">
              <w:rPr>
                <w:sz w:val="18"/>
                <w:szCs w:val="18"/>
                <w:lang w:val="sr-Cyrl-CS"/>
              </w:rPr>
              <w:t xml:space="preserve">Публикација установе </w:t>
            </w:r>
          </w:p>
          <w:p w:rsidR="00061956" w:rsidRPr="00761AC4" w:rsidRDefault="00061956" w:rsidP="00061956">
            <w:pPr>
              <w:rPr>
                <w:sz w:val="18"/>
                <w:szCs w:val="18"/>
              </w:rPr>
            </w:pPr>
            <w:r w:rsidRPr="00761AC4">
              <w:rPr>
                <w:sz w:val="18"/>
                <w:szCs w:val="18"/>
              </w:rPr>
              <w:t xml:space="preserve">Веб-сајт: </w:t>
            </w:r>
            <w:hyperlink r:id="rId9" w:history="1">
              <w:r w:rsidRPr="00761AC4">
                <w:rPr>
                  <w:rStyle w:val="Hyperlink"/>
                  <w:sz w:val="18"/>
                  <w:szCs w:val="18"/>
                </w:rPr>
                <w:t>www.filfak.ni.ac.rs</w:t>
              </w:r>
            </w:hyperlink>
          </w:p>
          <w:p w:rsidR="00061956" w:rsidRPr="00761AC4" w:rsidRDefault="00061956" w:rsidP="00061956">
            <w:pPr>
              <w:rPr>
                <w:sz w:val="18"/>
                <w:szCs w:val="18"/>
              </w:rPr>
            </w:pPr>
            <w:r w:rsidRPr="00761AC4">
              <w:rPr>
                <w:sz w:val="18"/>
                <w:szCs w:val="18"/>
              </w:rPr>
              <w:t xml:space="preserve">Веб-сајт на енглеском језику: </w:t>
            </w:r>
            <w:hyperlink r:id="rId10" w:history="1">
              <w:r w:rsidRPr="00761AC4">
                <w:rPr>
                  <w:rStyle w:val="Hyperlink"/>
                  <w:sz w:val="18"/>
                  <w:szCs w:val="18"/>
                </w:rPr>
                <w:t>https://intl.filfak.ni.ac.rs/en</w:t>
              </w:r>
            </w:hyperlink>
          </w:p>
          <w:p w:rsidR="00061956" w:rsidRPr="00761AC4" w:rsidRDefault="00061956" w:rsidP="00061956">
            <w:pPr>
              <w:rPr>
                <w:sz w:val="18"/>
                <w:szCs w:val="18"/>
              </w:rPr>
            </w:pPr>
            <w:r w:rsidRPr="00761AC4">
              <w:rPr>
                <w:sz w:val="18"/>
                <w:szCs w:val="18"/>
              </w:rPr>
              <w:t xml:space="preserve">Блог: </w:t>
            </w:r>
            <w:hyperlink r:id="rId11" w:history="1">
              <w:r w:rsidRPr="00761AC4">
                <w:rPr>
                  <w:rStyle w:val="Hyperlink"/>
                  <w:sz w:val="18"/>
                  <w:szCs w:val="18"/>
                </w:rPr>
                <w:t>https://blog.filfak.ni.ac.rs/</w:t>
              </w:r>
            </w:hyperlink>
          </w:p>
          <w:p w:rsidR="00061956" w:rsidRPr="00761AC4" w:rsidRDefault="00061956" w:rsidP="00061956">
            <w:pPr>
              <w:rPr>
                <w:sz w:val="18"/>
                <w:szCs w:val="18"/>
              </w:rPr>
            </w:pPr>
            <w:r w:rsidRPr="00761AC4">
              <w:rPr>
                <w:sz w:val="18"/>
                <w:szCs w:val="18"/>
              </w:rPr>
              <w:t xml:space="preserve">Портал за упис: </w:t>
            </w:r>
            <w:hyperlink r:id="rId12" w:history="1">
              <w:r w:rsidRPr="00761AC4">
                <w:rPr>
                  <w:rStyle w:val="Hyperlink"/>
                  <w:sz w:val="18"/>
                  <w:szCs w:val="18"/>
                </w:rPr>
                <w:t>https://upis.filfak.ni.ac.rs/</w:t>
              </w:r>
            </w:hyperlink>
          </w:p>
          <w:p w:rsidR="00061956" w:rsidRPr="00761AC4" w:rsidRDefault="00061956" w:rsidP="00061956">
            <w:pPr>
              <w:rPr>
                <w:sz w:val="18"/>
                <w:szCs w:val="18"/>
              </w:rPr>
            </w:pPr>
            <w:r w:rsidRPr="00761AC4">
              <w:rPr>
                <w:sz w:val="18"/>
                <w:szCs w:val="18"/>
              </w:rPr>
              <w:t xml:space="preserve">Портал за студенте: </w:t>
            </w:r>
            <w:hyperlink r:id="rId13" w:history="1">
              <w:r w:rsidRPr="00761AC4">
                <w:rPr>
                  <w:rStyle w:val="Hyperlink"/>
                  <w:sz w:val="18"/>
                  <w:szCs w:val="18"/>
                </w:rPr>
                <w:t>http://studenti.filfak.ni.ac.rs/</w:t>
              </w:r>
            </w:hyperlink>
          </w:p>
          <w:p w:rsidR="00061956" w:rsidRPr="00761AC4" w:rsidRDefault="00061956" w:rsidP="00061956">
            <w:pPr>
              <w:shd w:val="clear" w:color="auto" w:fill="FFFFFF"/>
              <w:jc w:val="both"/>
              <w:rPr>
                <w:lang w:val="ru-RU"/>
              </w:rPr>
            </w:pPr>
            <w:r w:rsidRPr="00761AC4">
              <w:rPr>
                <w:sz w:val="18"/>
                <w:szCs w:val="18"/>
              </w:rPr>
              <w:t xml:space="preserve">Издања Факултета: </w:t>
            </w:r>
            <w:hyperlink r:id="rId14" w:history="1">
              <w:r w:rsidRPr="00761AC4">
                <w:rPr>
                  <w:rStyle w:val="Hyperlink"/>
                  <w:sz w:val="18"/>
                  <w:szCs w:val="18"/>
                </w:rPr>
                <w:t>https://izdanja.filfak.ni.ac.rs/</w:t>
              </w:r>
            </w:hyperlink>
          </w:p>
        </w:tc>
      </w:tr>
    </w:tbl>
    <w:p w:rsidR="000413FF" w:rsidRPr="003B00A0" w:rsidRDefault="000413FF" w:rsidP="003B00A0"/>
    <w:sectPr w:rsidR="000413FF" w:rsidRPr="003B00A0" w:rsidSect="00C355BC">
      <w:headerReference w:type="default" r:id="rId15"/>
      <w:footerReference w:type="default" r:id="rId16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BE2" w:rsidRDefault="00644BE2">
      <w:r>
        <w:separator/>
      </w:r>
    </w:p>
  </w:endnote>
  <w:endnote w:type="continuationSeparator" w:id="1">
    <w:p w:rsidR="00644BE2" w:rsidRDefault="00644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BE2" w:rsidRDefault="00644BE2">
      <w:r>
        <w:separator/>
      </w:r>
    </w:p>
  </w:footnote>
  <w:footnote w:type="continuationSeparator" w:id="1">
    <w:p w:rsidR="00644BE2" w:rsidRDefault="00644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Default="00082B17" w:rsidP="00376CE1">
    <w:pPr>
      <w:pStyle w:val="Header"/>
    </w:pPr>
    <w:r>
      <w:t xml:space="preserve">         </w:t>
    </w:r>
  </w:p>
  <w:tbl>
    <w:tblPr>
      <w:tblW w:w="10982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66"/>
      <w:gridCol w:w="7620"/>
      <w:gridCol w:w="1696"/>
    </w:tblGrid>
    <w:tr w:rsidR="00082B17" w:rsidTr="00C355BC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082B17" w:rsidRPr="00A17D22" w:rsidRDefault="00BD325F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01700" cy="90170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7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2" w:type="dxa"/>
          <w:shd w:val="clear" w:color="auto" w:fill="FFFFFF"/>
          <w:vAlign w:val="center"/>
        </w:tcPr>
        <w:p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082B17" w:rsidRDefault="00BD325F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20750" cy="920750"/>
                <wp:effectExtent l="19050" t="0" r="0" b="0"/>
                <wp:docPr id="2" name="Picture 2" descr="Redizajnirani logotip 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dizajnirani logotip 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750" cy="920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:rsidTr="00C355BC">
      <w:trPr>
        <w:trHeight w:val="467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E6E6E6"/>
          <w:vAlign w:val="center"/>
        </w:tcPr>
        <w:p w:rsidR="00082B17" w:rsidRPr="00C355BC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:rsidTr="00C355BC">
      <w:trPr>
        <w:trHeight w:val="449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FFFFFF"/>
          <w:vAlign w:val="center"/>
        </w:tcPr>
        <w:p w:rsidR="004C7606" w:rsidRPr="00F91ABC" w:rsidRDefault="00F91ABC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психологије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61956"/>
    <w:rsid w:val="0006689F"/>
    <w:rsid w:val="00082B17"/>
    <w:rsid w:val="00085816"/>
    <w:rsid w:val="000A64BA"/>
    <w:rsid w:val="000B6872"/>
    <w:rsid w:val="000B6B79"/>
    <w:rsid w:val="000C6657"/>
    <w:rsid w:val="000D6133"/>
    <w:rsid w:val="000E1822"/>
    <w:rsid w:val="00125D5C"/>
    <w:rsid w:val="00135ED9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82D28"/>
    <w:rsid w:val="002E68DF"/>
    <w:rsid w:val="002E7AA4"/>
    <w:rsid w:val="003129E2"/>
    <w:rsid w:val="00320DCA"/>
    <w:rsid w:val="00337217"/>
    <w:rsid w:val="00337C2D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05F1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A409E"/>
    <w:rsid w:val="004B02EB"/>
    <w:rsid w:val="004C5D35"/>
    <w:rsid w:val="004C7606"/>
    <w:rsid w:val="004E059F"/>
    <w:rsid w:val="004E2493"/>
    <w:rsid w:val="004E322F"/>
    <w:rsid w:val="00521AA4"/>
    <w:rsid w:val="005325D4"/>
    <w:rsid w:val="00560C24"/>
    <w:rsid w:val="005870A7"/>
    <w:rsid w:val="00596126"/>
    <w:rsid w:val="005A19FE"/>
    <w:rsid w:val="005A3432"/>
    <w:rsid w:val="005C27B3"/>
    <w:rsid w:val="00636D05"/>
    <w:rsid w:val="00644BE2"/>
    <w:rsid w:val="006514C4"/>
    <w:rsid w:val="0065465C"/>
    <w:rsid w:val="00654720"/>
    <w:rsid w:val="00655F0A"/>
    <w:rsid w:val="00676E24"/>
    <w:rsid w:val="00690987"/>
    <w:rsid w:val="006A4CAD"/>
    <w:rsid w:val="006C11E6"/>
    <w:rsid w:val="006C498A"/>
    <w:rsid w:val="006C7012"/>
    <w:rsid w:val="006E34D1"/>
    <w:rsid w:val="006F48FF"/>
    <w:rsid w:val="00702729"/>
    <w:rsid w:val="00761AC4"/>
    <w:rsid w:val="00763766"/>
    <w:rsid w:val="007A5293"/>
    <w:rsid w:val="007B114F"/>
    <w:rsid w:val="007B6E26"/>
    <w:rsid w:val="007C3C92"/>
    <w:rsid w:val="007D6304"/>
    <w:rsid w:val="007E5100"/>
    <w:rsid w:val="007F1217"/>
    <w:rsid w:val="008232AD"/>
    <w:rsid w:val="00825F21"/>
    <w:rsid w:val="00854690"/>
    <w:rsid w:val="00857CC3"/>
    <w:rsid w:val="00863698"/>
    <w:rsid w:val="0087309A"/>
    <w:rsid w:val="008B3CC2"/>
    <w:rsid w:val="008D474B"/>
    <w:rsid w:val="008D4C1B"/>
    <w:rsid w:val="00923132"/>
    <w:rsid w:val="00960752"/>
    <w:rsid w:val="009A7351"/>
    <w:rsid w:val="009B5BB9"/>
    <w:rsid w:val="009E3014"/>
    <w:rsid w:val="00A15ABD"/>
    <w:rsid w:val="00A17D22"/>
    <w:rsid w:val="00A23225"/>
    <w:rsid w:val="00A24A4A"/>
    <w:rsid w:val="00A30EEE"/>
    <w:rsid w:val="00A32EB9"/>
    <w:rsid w:val="00A566C3"/>
    <w:rsid w:val="00A5721B"/>
    <w:rsid w:val="00A74BFF"/>
    <w:rsid w:val="00A83266"/>
    <w:rsid w:val="00A91357"/>
    <w:rsid w:val="00AA1427"/>
    <w:rsid w:val="00AA700C"/>
    <w:rsid w:val="00AD094E"/>
    <w:rsid w:val="00AE4F7F"/>
    <w:rsid w:val="00AF7B02"/>
    <w:rsid w:val="00B15C97"/>
    <w:rsid w:val="00B21027"/>
    <w:rsid w:val="00B212DA"/>
    <w:rsid w:val="00B2763C"/>
    <w:rsid w:val="00B35C47"/>
    <w:rsid w:val="00B376DC"/>
    <w:rsid w:val="00B53617"/>
    <w:rsid w:val="00B86E0F"/>
    <w:rsid w:val="00BC0CF4"/>
    <w:rsid w:val="00BC352B"/>
    <w:rsid w:val="00BC7963"/>
    <w:rsid w:val="00BD325F"/>
    <w:rsid w:val="00BF1068"/>
    <w:rsid w:val="00C06D74"/>
    <w:rsid w:val="00C129E1"/>
    <w:rsid w:val="00C17332"/>
    <w:rsid w:val="00C30837"/>
    <w:rsid w:val="00C33621"/>
    <w:rsid w:val="00C355BC"/>
    <w:rsid w:val="00C53247"/>
    <w:rsid w:val="00C831E7"/>
    <w:rsid w:val="00C84C0A"/>
    <w:rsid w:val="00C858F1"/>
    <w:rsid w:val="00C87E28"/>
    <w:rsid w:val="00CA5A33"/>
    <w:rsid w:val="00CA62DB"/>
    <w:rsid w:val="00CC3F45"/>
    <w:rsid w:val="00CC61D1"/>
    <w:rsid w:val="00CD231F"/>
    <w:rsid w:val="00CF7E2C"/>
    <w:rsid w:val="00D4438A"/>
    <w:rsid w:val="00D540CC"/>
    <w:rsid w:val="00D66EC9"/>
    <w:rsid w:val="00D6759D"/>
    <w:rsid w:val="00D748A7"/>
    <w:rsid w:val="00D7706B"/>
    <w:rsid w:val="00D834EF"/>
    <w:rsid w:val="00DA1A85"/>
    <w:rsid w:val="00DA6C11"/>
    <w:rsid w:val="00DD08ED"/>
    <w:rsid w:val="00DD19B5"/>
    <w:rsid w:val="00DE08F5"/>
    <w:rsid w:val="00DE7AA7"/>
    <w:rsid w:val="00DF7857"/>
    <w:rsid w:val="00E12D8C"/>
    <w:rsid w:val="00E15B35"/>
    <w:rsid w:val="00E24AEA"/>
    <w:rsid w:val="00E26D16"/>
    <w:rsid w:val="00E42FF4"/>
    <w:rsid w:val="00EB3393"/>
    <w:rsid w:val="00EB6085"/>
    <w:rsid w:val="00EC6ECD"/>
    <w:rsid w:val="00F05022"/>
    <w:rsid w:val="00F177C3"/>
    <w:rsid w:val="00F21D03"/>
    <w:rsid w:val="00F22BE1"/>
    <w:rsid w:val="00F25667"/>
    <w:rsid w:val="00F36C17"/>
    <w:rsid w:val="00F4203A"/>
    <w:rsid w:val="00F466BA"/>
    <w:rsid w:val="00F6121B"/>
    <w:rsid w:val="00F63E79"/>
    <w:rsid w:val="00F77718"/>
    <w:rsid w:val="00F91ABC"/>
    <w:rsid w:val="00F97C79"/>
    <w:rsid w:val="00FA3F42"/>
    <w:rsid w:val="00FB6724"/>
    <w:rsid w:val="00FC29CE"/>
    <w:rsid w:val="00FC6EFD"/>
    <w:rsid w:val="00FE69F4"/>
    <w:rsid w:val="00FF1409"/>
    <w:rsid w:val="00FF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/Documents/Downloads/pravilnik_o_postupku_pripreme_i_uslovima_za_odbranu_doktorske_disertacije%20(1).pdf)" TargetMode="External"/><Relationship Id="rId13" Type="http://schemas.openxmlformats.org/officeDocument/2006/relationships/hyperlink" Target="http://studenti.filfak.ni.ac.r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S80-eXHNSmxuPmCNLYk1CuMvgntUIXsi/edit" TargetMode="External"/><Relationship Id="rId12" Type="http://schemas.openxmlformats.org/officeDocument/2006/relationships/hyperlink" Target="https://upis.filfak.ni.ac.r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filfak.ni.ac.r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l.filfak.ni.ac.rs/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fak.ni.ac.rs" TargetMode="External"/><Relationship Id="rId14" Type="http://schemas.openxmlformats.org/officeDocument/2006/relationships/hyperlink" Target="https://izdanja.filfak.ni.ac.r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3965</CharactersWithSpaces>
  <SharedDoc>false</SharedDoc>
  <HLinks>
    <vt:vector size="36" baseType="variant">
      <vt:variant>
        <vt:i4>5505106</vt:i4>
      </vt:variant>
      <vt:variant>
        <vt:i4>15</vt:i4>
      </vt:variant>
      <vt:variant>
        <vt:i4>0</vt:i4>
      </vt:variant>
      <vt:variant>
        <vt:i4>5</vt:i4>
      </vt:variant>
      <vt:variant>
        <vt:lpwstr>https://izdanja.filfak.ni.ac.rs/</vt:lpwstr>
      </vt:variant>
      <vt:variant>
        <vt:lpwstr/>
      </vt:variant>
      <vt:variant>
        <vt:i4>524302</vt:i4>
      </vt:variant>
      <vt:variant>
        <vt:i4>12</vt:i4>
      </vt:variant>
      <vt:variant>
        <vt:i4>0</vt:i4>
      </vt:variant>
      <vt:variant>
        <vt:i4>5</vt:i4>
      </vt:variant>
      <vt:variant>
        <vt:lpwstr>http://studenti.filfak.ni.ac.rs/</vt:lpwstr>
      </vt:variant>
      <vt:variant>
        <vt:lpwstr/>
      </vt:variant>
      <vt:variant>
        <vt:i4>131143</vt:i4>
      </vt:variant>
      <vt:variant>
        <vt:i4>9</vt:i4>
      </vt:variant>
      <vt:variant>
        <vt:i4>0</vt:i4>
      </vt:variant>
      <vt:variant>
        <vt:i4>5</vt:i4>
      </vt:variant>
      <vt:variant>
        <vt:lpwstr>https://upis.filfak.ni.ac.rs/</vt:lpwstr>
      </vt:variant>
      <vt:variant>
        <vt:lpwstr/>
      </vt:variant>
      <vt:variant>
        <vt:i4>655446</vt:i4>
      </vt:variant>
      <vt:variant>
        <vt:i4>6</vt:i4>
      </vt:variant>
      <vt:variant>
        <vt:i4>0</vt:i4>
      </vt:variant>
      <vt:variant>
        <vt:i4>5</vt:i4>
      </vt:variant>
      <vt:variant>
        <vt:lpwstr>https://blog.filfak.ni.ac.rs/</vt:lpwstr>
      </vt:variant>
      <vt:variant>
        <vt:lpwstr/>
      </vt:variant>
      <vt:variant>
        <vt:i4>6684777</vt:i4>
      </vt:variant>
      <vt:variant>
        <vt:i4>3</vt:i4>
      </vt:variant>
      <vt:variant>
        <vt:i4>0</vt:i4>
      </vt:variant>
      <vt:variant>
        <vt:i4>5</vt:i4>
      </vt:variant>
      <vt:variant>
        <vt:lpwstr>https://intl.filfak.ni.ac.rs/en</vt:lpwstr>
      </vt:variant>
      <vt:variant>
        <vt:lpwstr/>
      </vt:variant>
      <vt:variant>
        <vt:i4>3866725</vt:i4>
      </vt:variant>
      <vt:variant>
        <vt:i4>0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IJ</cp:lastModifiedBy>
  <cp:revision>2</cp:revision>
  <cp:lastPrinted>2008-06-10T11:57:00Z</cp:lastPrinted>
  <dcterms:created xsi:type="dcterms:W3CDTF">2023-08-25T20:47:00Z</dcterms:created>
  <dcterms:modified xsi:type="dcterms:W3CDTF">2023-08-25T20:47:00Z</dcterms:modified>
</cp:coreProperties>
</file>